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Trenton Williams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Wtrenton2000@gmail.com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Phone number: 814-282-5208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Resume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Work Experience: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Crew Person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Burger King: March 2017- September 2017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Auto Detailer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A.Crivelli Ford: October 2017- June 2018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Laborer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Renovex: June 2018- December 2018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Technician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DJA Tank Inspections: January 2019- July 2020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RSAT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Polk Center: July 2020- January 2021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Technician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JM Eagle: January 2022-July 2022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Teardown Technician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Wabtec Corp: July 2022-June 2023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Laborer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Blue Rhino: June 2023-January2024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Rig Hand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CSR Services: February 2024-may 2024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Sand Blaster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Qualex Manufacturing: May 2024-Present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Certificates: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Osha 10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Medical DOT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CNA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Graduated from Franklin Jr. Sr. High school in 2018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Graduated from Oil &amp; Gas at  Venango Technology in 2018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Have mig and stick welding experience &amp; heavy equipment experience from there.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passed my CNA test on 2/22/2024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Wtrenton74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VDa/p4QaTfSG3Bi+lvodG20g0Q==">CgMxLjA4AHIhMVZqRzNtcjR5enpKUHEtejdDVzJQNng2Y1FObEhmX0FQ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